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>MISTRZOSTWA W  PIŁCE RĘCZNEJ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Arial" w:ascii="Arial" w:hAnsi="Arial"/>
          <w:b/>
          <w:bCs/>
          <w:szCs w:val="26"/>
        </w:rPr>
        <w:t>KAT. DZIEWCZĄT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DZIECI 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02.03.2026 r. (PONIEDZIAŁEK)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MIŁOSŁAW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</w:t>
      </w:r>
      <w:r>
        <w:rPr>
          <w:rFonts w:cs="Tahoma" w:ascii="Tahoma" w:hAnsi="Tahoma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cs="Tahoma" w:ascii="Comic Sans MS" w:hAnsi="Comic Sans MS"/>
          <w:b/>
          <w:bCs/>
          <w:color w:val="000000"/>
          <w:sz w:val="22"/>
          <w:szCs w:val="22"/>
          <w:u w:val="none"/>
        </w:rPr>
        <w:t xml:space="preserve">  </w:t>
      </w:r>
      <w:r>
        <w:rPr>
          <w:rFonts w:cs="Tahoma" w:ascii="Comic Sans MS" w:hAnsi="Comic Sans MS"/>
          <w:b/>
          <w:bCs/>
          <w:color w:val="000000"/>
          <w:sz w:val="24"/>
          <w:szCs w:val="24"/>
          <w:u w:val="none"/>
        </w:rPr>
        <w:t xml:space="preserve">  </w:t>
      </w:r>
      <w:r>
        <w:rPr>
          <w:rFonts w:cs="Tahoma" w:ascii="Comic Sans MS" w:hAnsi="Comic Sans MS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Style w:val="Czeinternetowe"/>
          <w:rFonts w:cs="Comic Sans MS" w:ascii="Comic Sans MS" w:hAnsi="Comic Sans MS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Szkoła Podstawowa  im. Wiosny Ludów</w:t>
        <w:br/>
        <w:tab/>
        <w:tab/>
        <w:tab/>
        <w:tab/>
        <w:tab/>
        <w:t>w Miłosławiu</w:t>
        <w:br/>
        <w:tab/>
        <w:tab/>
        <w:tab/>
        <w:tab/>
        <w:tab/>
        <w:t xml:space="preserve">   Bugaj 7</w:t>
        <w:br/>
        <w:tab/>
        <w:tab/>
        <w:tab/>
        <w:tab/>
        <w:t xml:space="preserve">    62-320 Miłosław </w:t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10.00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wrzesiński, z powiatu poznańskiego startuje drużyna, która na finałach powiatowych zajęła miejsca II)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podstawowych urodzona w roku 2013 i młodsza, posiadająca ważną legitymację szkolną. Zespół liczy 14 zawodników - uczniów jednej szkoły. 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ZPRP.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>Organizator w M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iłosławiu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Agnieszka Dobra   505 133 734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LibreOffice/7.3.1.3$Windows_X86_64 LibreOffice_project/a69ca51ded25f3eefd52d7bf9a5fad8c90b87951</Application>
  <AppVersion>15.0000</AppVersion>
  <Pages>2</Pages>
  <Words>324</Words>
  <Characters>2279</Characters>
  <CharactersWithSpaces>2705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2026-02-11T14:58:23Z</dcterms:modified>
  <cp:revision>16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